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5BD" w:rsidRDefault="00F63A84" w:rsidP="00F63A84">
      <w:pPr>
        <w:pStyle w:val="Ttulo1"/>
        <w:spacing w:line="645" w:lineRule="exact"/>
      </w:pPr>
      <w:r>
        <w:t>Buenas prácticas para el acceso a la justicia de las personas con discapacidad</w:t>
      </w:r>
    </w:p>
    <w:p w:rsidR="00E745BD" w:rsidRDefault="00F63A84">
      <w:pPr>
        <w:spacing w:before="241"/>
        <w:ind w:left="120"/>
        <w:rPr>
          <w:rFonts w:ascii="Calibri Light"/>
          <w:sz w:val="32"/>
        </w:rPr>
      </w:pPr>
      <w:bookmarkStart w:id="0" w:name="Executive_summary"/>
      <w:bookmarkEnd w:id="0"/>
      <w:r>
        <w:rPr>
          <w:rFonts w:ascii="Calibri Light"/>
          <w:color w:val="2E5395"/>
          <w:sz w:val="32"/>
        </w:rPr>
        <w:t>Resumen</w:t>
      </w:r>
    </w:p>
    <w:p w:rsidR="00E745BD" w:rsidRDefault="00F63A84">
      <w:pPr>
        <w:pStyle w:val="Textoindependiente"/>
        <w:spacing w:before="158" w:line="276" w:lineRule="auto"/>
        <w:ind w:left="120" w:right="95" w:firstLine="0"/>
      </w:pPr>
      <w:r>
        <w:t>Just4All es un proyecto europeo conjunto liderado por la Fundación ONCE en colaboración con la Asociación Europea de Proveedores de Servicios para Personas con Discapacidad (EASPD), el Foro Europeo de la Discapacidad (EDF), Thomson Reuters Aranzadi y la Universidad Carlos III de Madrid (UC3M)</w:t>
      </w:r>
      <w:r w:rsidR="00C34814">
        <w:t xml:space="preserve"> que tiene</w:t>
      </w:r>
      <w:r>
        <w:t xml:space="preserve"> como objetivo promover el acceso a la justicia de las personas con discapacidad mediante la formación de los operadores jurídicos.</w:t>
      </w:r>
    </w:p>
    <w:p w:rsidR="00E745BD" w:rsidRDefault="00F63A84">
      <w:pPr>
        <w:pStyle w:val="Textoindependiente"/>
        <w:spacing w:before="200" w:line="276" w:lineRule="auto"/>
        <w:ind w:left="120" w:right="319" w:firstLine="0"/>
      </w:pPr>
      <w:r>
        <w:t>Este informe recopila una serie de prácticas inclusivas de los profesionales del derecho de la Unión Europea para mejorar el acceso a la justicia para las personas con discapacidad. Está dividido en cinco secciones:</w:t>
      </w:r>
    </w:p>
    <w:p w:rsidR="00E745BD" w:rsidRDefault="00F63A84">
      <w:pPr>
        <w:pStyle w:val="Prrafodelista"/>
        <w:numPr>
          <w:ilvl w:val="0"/>
          <w:numId w:val="1"/>
        </w:numPr>
        <w:tabs>
          <w:tab w:val="left" w:pos="839"/>
          <w:tab w:val="left" w:pos="840"/>
        </w:tabs>
        <w:spacing w:before="200" w:line="273" w:lineRule="auto"/>
        <w:ind w:right="400"/>
        <w:rPr>
          <w:sz w:val="24"/>
        </w:rPr>
      </w:pPr>
      <w:r>
        <w:rPr>
          <w:sz w:val="24"/>
        </w:rPr>
        <w:t>Acceso a la justicia: comunicación accesible, entorno construido y primer contacto con la policía.</w:t>
      </w:r>
    </w:p>
    <w:p w:rsidR="00E745BD" w:rsidRDefault="00F63A84">
      <w:pPr>
        <w:pStyle w:val="Prrafodelista"/>
        <w:numPr>
          <w:ilvl w:val="0"/>
          <w:numId w:val="1"/>
        </w:numPr>
        <w:tabs>
          <w:tab w:val="left" w:pos="839"/>
          <w:tab w:val="left" w:pos="840"/>
        </w:tabs>
        <w:rPr>
          <w:sz w:val="24"/>
        </w:rPr>
      </w:pPr>
      <w:r>
        <w:rPr>
          <w:sz w:val="24"/>
        </w:rPr>
        <w:t>Litigios: prácticas accesibles cuando se solicitan y/o emprenden acciones legales.</w:t>
      </w:r>
    </w:p>
    <w:p w:rsidR="00E745BD" w:rsidRDefault="00F63A84">
      <w:pPr>
        <w:pStyle w:val="Prrafodelista"/>
        <w:numPr>
          <w:ilvl w:val="0"/>
          <w:numId w:val="1"/>
        </w:numPr>
        <w:tabs>
          <w:tab w:val="left" w:pos="839"/>
          <w:tab w:val="left" w:pos="840"/>
        </w:tabs>
        <w:spacing w:before="44" w:line="273" w:lineRule="auto"/>
        <w:ind w:right="176"/>
        <w:rPr>
          <w:sz w:val="24"/>
        </w:rPr>
      </w:pPr>
      <w:r>
        <w:rPr>
          <w:sz w:val="24"/>
        </w:rPr>
        <w:t xml:space="preserve">Apoyo a los delincuentes con discapacidad: apoyo dentro del sistema penitenciario a los </w:t>
      </w:r>
      <w:r w:rsidR="00C34814">
        <w:rPr>
          <w:sz w:val="24"/>
        </w:rPr>
        <w:t>delincuentes</w:t>
      </w:r>
      <w:r>
        <w:rPr>
          <w:sz w:val="24"/>
        </w:rPr>
        <w:t xml:space="preserve"> con discapacidad.</w:t>
      </w:r>
    </w:p>
    <w:p w:rsidR="00E745BD" w:rsidRDefault="00F63A84">
      <w:pPr>
        <w:pStyle w:val="Prrafodelista"/>
        <w:numPr>
          <w:ilvl w:val="0"/>
          <w:numId w:val="1"/>
        </w:numPr>
        <w:tabs>
          <w:tab w:val="left" w:pos="839"/>
          <w:tab w:val="left" w:pos="840"/>
        </w:tabs>
        <w:spacing w:line="273" w:lineRule="auto"/>
        <w:ind w:right="272"/>
        <w:rPr>
          <w:sz w:val="24"/>
        </w:rPr>
      </w:pPr>
      <w:r>
        <w:rPr>
          <w:sz w:val="24"/>
        </w:rPr>
        <w:t>Conocimientos especializados: herramientas de aprendizaje para que los profesionales del derecho puedan hacer que sus prácticas sean más accesibles.</w:t>
      </w:r>
    </w:p>
    <w:p w:rsidR="00E745BD" w:rsidRDefault="00F63A84">
      <w:pPr>
        <w:pStyle w:val="Prrafodelista"/>
        <w:numPr>
          <w:ilvl w:val="0"/>
          <w:numId w:val="1"/>
        </w:numPr>
        <w:tabs>
          <w:tab w:val="left" w:pos="839"/>
          <w:tab w:val="left" w:pos="840"/>
        </w:tabs>
        <w:spacing w:before="5" w:line="273" w:lineRule="auto"/>
        <w:ind w:right="859"/>
        <w:rPr>
          <w:sz w:val="24"/>
        </w:rPr>
      </w:pPr>
      <w:r>
        <w:rPr>
          <w:sz w:val="24"/>
        </w:rPr>
        <w:t>Defensa de la discapacidad: ejemplos de defensa que pueden ser realizados por profesionales del derecho y en colaboración con entidades nacionales.</w:t>
      </w:r>
    </w:p>
    <w:p w:rsidR="00E745BD" w:rsidRDefault="00F63A84">
      <w:pPr>
        <w:pStyle w:val="Textoindependiente"/>
        <w:spacing w:before="206" w:line="276" w:lineRule="auto"/>
        <w:ind w:left="119" w:right="121" w:firstLine="0"/>
      </w:pPr>
      <w:r>
        <w:t>Si bien este informe destaca las buenas prácticas, parece existir un fallo sistémico en la realización de ajustes razonables en los Estados miembros (lo que constituye un incumplimiento de la CDPD) y pocos incentivos para que los responsables de la toma de decisiones ofrezcan soluciones ya existentes para el acceso a la justicia</w:t>
      </w:r>
      <w:r w:rsidR="00C34814">
        <w:t xml:space="preserve"> por lo que se</w:t>
      </w:r>
      <w:r>
        <w:t xml:space="preserve"> limita el número de personas con discapacidad que pueden beneficiarse de </w:t>
      </w:r>
      <w:r w:rsidR="00C34814">
        <w:t>ellas</w:t>
      </w:r>
      <w:r>
        <w:t xml:space="preserve">. Las prácticas que aparecen en el informe pueden utilizarse como </w:t>
      </w:r>
      <w:r w:rsidR="00C34814">
        <w:t>guía</w:t>
      </w:r>
      <w:r>
        <w:t xml:space="preserve"> para la coordinación y asignación de recursos con el fin de ampliar el acceso a la justicia para las personas con discapacidad.</w:t>
      </w:r>
    </w:p>
    <w:p w:rsidR="00E745BD" w:rsidRDefault="00F63A84">
      <w:pPr>
        <w:pStyle w:val="Textoindependiente"/>
        <w:spacing w:before="198" w:line="276" w:lineRule="auto"/>
        <w:ind w:left="119" w:right="270" w:firstLine="0"/>
      </w:pPr>
      <w:r>
        <w:t xml:space="preserve">Este trabajo es una combinación de propuestas </w:t>
      </w:r>
      <w:r w:rsidR="00C34814">
        <w:t>en el marco</w:t>
      </w:r>
      <w:r>
        <w:t xml:space="preserve"> del proyecto, prácticas que han sido objeto de debate en los seminarios sobre "Lagunas en la formación de los operadores jurídicos" y "Barreras de acceso a la justicia </w:t>
      </w:r>
      <w:r w:rsidR="00C34814">
        <w:t>para</w:t>
      </w:r>
      <w:r>
        <w:t xml:space="preserve"> las personas con discapacidad" </w:t>
      </w:r>
      <w:r w:rsidR="00C34814">
        <w:t>así como</w:t>
      </w:r>
      <w:r>
        <w:t xml:space="preserve"> estudios sobre prácticas inclusivas para el acc</w:t>
      </w:r>
      <w:bookmarkStart w:id="1" w:name="_GoBack"/>
      <w:bookmarkEnd w:id="1"/>
      <w:r>
        <w:t>eso a la justicia de las personas con discapacidad en la Unión Europea.</w:t>
      </w:r>
    </w:p>
    <w:sectPr w:rsidR="00E745BD">
      <w:type w:val="continuous"/>
      <w:pgSz w:w="11910" w:h="16840"/>
      <w:pgMar w:top="1460" w:right="13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732F1"/>
    <w:multiLevelType w:val="hybridMultilevel"/>
    <w:tmpl w:val="157C8024"/>
    <w:lvl w:ilvl="0" w:tplc="51AA4836">
      <w:numFmt w:val="bullet"/>
      <w:lvlText w:val=""/>
      <w:lvlJc w:val="left"/>
      <w:pPr>
        <w:ind w:left="840" w:hanging="360"/>
      </w:pPr>
      <w:rPr>
        <w:rFonts w:ascii="Symbol" w:eastAsia="Symbol" w:hAnsi="Symbol" w:cs="Symbol" w:hint="default"/>
        <w:w w:val="100"/>
        <w:sz w:val="24"/>
        <w:szCs w:val="24"/>
        <w:lang w:val="en-US" w:eastAsia="en-US" w:bidi="en-US"/>
      </w:rPr>
    </w:lvl>
    <w:lvl w:ilvl="1" w:tplc="CF908704">
      <w:numFmt w:val="bullet"/>
      <w:lvlText w:val="•"/>
      <w:lvlJc w:val="left"/>
      <w:pPr>
        <w:ind w:left="1676" w:hanging="360"/>
      </w:pPr>
      <w:rPr>
        <w:rFonts w:hint="default"/>
        <w:lang w:val="en-US" w:eastAsia="en-US" w:bidi="en-US"/>
      </w:rPr>
    </w:lvl>
    <w:lvl w:ilvl="2" w:tplc="2326C720">
      <w:numFmt w:val="bullet"/>
      <w:lvlText w:val="•"/>
      <w:lvlJc w:val="left"/>
      <w:pPr>
        <w:ind w:left="2513" w:hanging="360"/>
      </w:pPr>
      <w:rPr>
        <w:rFonts w:hint="default"/>
        <w:lang w:val="en-US" w:eastAsia="en-US" w:bidi="en-US"/>
      </w:rPr>
    </w:lvl>
    <w:lvl w:ilvl="3" w:tplc="90964696">
      <w:numFmt w:val="bullet"/>
      <w:lvlText w:val="•"/>
      <w:lvlJc w:val="left"/>
      <w:pPr>
        <w:ind w:left="3349" w:hanging="360"/>
      </w:pPr>
      <w:rPr>
        <w:rFonts w:hint="default"/>
        <w:lang w:val="en-US" w:eastAsia="en-US" w:bidi="en-US"/>
      </w:rPr>
    </w:lvl>
    <w:lvl w:ilvl="4" w:tplc="6504C0BA">
      <w:numFmt w:val="bullet"/>
      <w:lvlText w:val="•"/>
      <w:lvlJc w:val="left"/>
      <w:pPr>
        <w:ind w:left="4186" w:hanging="360"/>
      </w:pPr>
      <w:rPr>
        <w:rFonts w:hint="default"/>
        <w:lang w:val="en-US" w:eastAsia="en-US" w:bidi="en-US"/>
      </w:rPr>
    </w:lvl>
    <w:lvl w:ilvl="5" w:tplc="55F89982">
      <w:numFmt w:val="bullet"/>
      <w:lvlText w:val="•"/>
      <w:lvlJc w:val="left"/>
      <w:pPr>
        <w:ind w:left="5023" w:hanging="360"/>
      </w:pPr>
      <w:rPr>
        <w:rFonts w:hint="default"/>
        <w:lang w:val="en-US" w:eastAsia="en-US" w:bidi="en-US"/>
      </w:rPr>
    </w:lvl>
    <w:lvl w:ilvl="6" w:tplc="7C7E8340">
      <w:numFmt w:val="bullet"/>
      <w:lvlText w:val="•"/>
      <w:lvlJc w:val="left"/>
      <w:pPr>
        <w:ind w:left="5859" w:hanging="360"/>
      </w:pPr>
      <w:rPr>
        <w:rFonts w:hint="default"/>
        <w:lang w:val="en-US" w:eastAsia="en-US" w:bidi="en-US"/>
      </w:rPr>
    </w:lvl>
    <w:lvl w:ilvl="7" w:tplc="C5866032">
      <w:numFmt w:val="bullet"/>
      <w:lvlText w:val="•"/>
      <w:lvlJc w:val="left"/>
      <w:pPr>
        <w:ind w:left="6696" w:hanging="360"/>
      </w:pPr>
      <w:rPr>
        <w:rFonts w:hint="default"/>
        <w:lang w:val="en-US" w:eastAsia="en-US" w:bidi="en-US"/>
      </w:rPr>
    </w:lvl>
    <w:lvl w:ilvl="8" w:tplc="C0B47354">
      <w:numFmt w:val="bullet"/>
      <w:lvlText w:val="•"/>
      <w:lvlJc w:val="left"/>
      <w:pPr>
        <w:ind w:left="7533"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5BD"/>
    <w:rsid w:val="00C34814"/>
    <w:rsid w:val="00E745BD"/>
    <w:rsid w:val="00F63A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3A54"/>
  <w15:docId w15:val="{2EA1024B-744F-4690-9193-D07207A7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Ttulo1">
    <w:name w:val="heading 1"/>
    <w:basedOn w:val="Normal"/>
    <w:uiPriority w:val="1"/>
    <w:qFormat/>
    <w:pPr>
      <w:ind w:left="120"/>
      <w:outlineLvl w:val="0"/>
    </w:pPr>
    <w:rPr>
      <w:rFonts w:ascii="Calibri Light" w:eastAsia="Calibri Light" w:hAnsi="Calibri Light" w:cs="Calibri Light"/>
      <w:sz w:val="56"/>
      <w:szCs w:val="5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6"/>
      <w:ind w:left="840" w:hanging="360"/>
    </w:pPr>
    <w:rPr>
      <w:sz w:val="24"/>
      <w:szCs w:val="24"/>
    </w:rPr>
  </w:style>
  <w:style w:type="paragraph" w:styleId="Prrafodelista">
    <w:name w:val="List Paragraph"/>
    <w:basedOn w:val="Normal"/>
    <w:uiPriority w:val="1"/>
    <w:qFormat/>
    <w:pPr>
      <w:spacing w:before="6"/>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362</Words>
  <Characters>1986</Characters>
  <Application>Microsoft Office Word</Application>
  <DocSecurity>0</DocSecurity>
  <Lines>32</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Mabita</dc:creator>
  <cp:lastModifiedBy>Pax</cp:lastModifiedBy>
  <cp:revision>3</cp:revision>
  <dcterms:created xsi:type="dcterms:W3CDTF">2019-09-26T22:15:00Z</dcterms:created>
  <dcterms:modified xsi:type="dcterms:W3CDTF">2019-09-27T09:49:00Z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Acrobat PDFMaker 19 for Word</vt:lpwstr>
  </property>
  <property fmtid="{D5CDD505-2E9C-101B-9397-08002B2CF9AE}" pid="4" name="LastSaved">
    <vt:filetime>2019-09-25T00:00:00Z</vt:filetime>
  </property>
</Properties>
</file>